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631D280F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</w:t>
      </w:r>
      <w:r w:rsidR="00AF4445">
        <w:rPr>
          <w:sz w:val="24"/>
          <w:szCs w:val="24"/>
        </w:rPr>
        <w:t>6</w:t>
      </w:r>
    </w:p>
    <w:p w14:paraId="7F9D4069" w14:textId="77777777" w:rsidR="00001195" w:rsidRDefault="00AA057A" w:rsidP="005A723C">
      <w:pPr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47FD5D4" w14:textId="77777777" w:rsidR="00AF4445" w:rsidRPr="00B52F1E" w:rsidRDefault="00F25D8C" w:rsidP="00AF4445">
      <w:pPr>
        <w:pStyle w:val="NormalWeb"/>
        <w:tabs>
          <w:tab w:val="left" w:pos="851"/>
        </w:tabs>
        <w:spacing w:after="360" w:afterAutospacing="0"/>
        <w:jc w:val="both"/>
        <w:rPr>
          <w:color w:val="000000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AF4445" w:rsidRPr="007243DF">
        <w:rPr>
          <w:color w:val="000000"/>
        </w:rPr>
        <w:t xml:space="preserve">La </w:t>
      </w:r>
      <w:r w:rsidR="00AF4445">
        <w:rPr>
          <w:color w:val="000000"/>
        </w:rPr>
        <w:t>preocupante</w:t>
      </w:r>
      <w:r w:rsidR="00AF4445" w:rsidRPr="007243DF">
        <w:rPr>
          <w:color w:val="000000"/>
        </w:rPr>
        <w:t xml:space="preserve"> </w:t>
      </w:r>
      <w:r w:rsidR="00AF4445">
        <w:rPr>
          <w:color w:val="000000"/>
        </w:rPr>
        <w:t xml:space="preserve">y creciente tendencia en </w:t>
      </w:r>
      <w:r w:rsidR="00AF4445" w:rsidRPr="007243DF">
        <w:rPr>
          <w:color w:val="000000"/>
        </w:rPr>
        <w:t>adolescentes que</w:t>
      </w:r>
      <w:r w:rsidR="00AF4445">
        <w:rPr>
          <w:color w:val="000000"/>
        </w:rPr>
        <w:t xml:space="preserve"> optan por </w:t>
      </w:r>
      <w:r w:rsidR="00AF4445" w:rsidRPr="007243DF">
        <w:rPr>
          <w:color w:val="000000"/>
        </w:rPr>
        <w:t>utiliza</w:t>
      </w:r>
      <w:r w:rsidR="00AF4445">
        <w:rPr>
          <w:color w:val="000000"/>
        </w:rPr>
        <w:t>r</w:t>
      </w:r>
      <w:r w:rsidR="00AF4445" w:rsidRPr="007243DF">
        <w:rPr>
          <w:color w:val="000000"/>
        </w:rPr>
        <w:t xml:space="preserve"> distintas plataformas en línea (online) para realizar apuestas</w:t>
      </w:r>
      <w:r w:rsidR="00AF4445" w:rsidRPr="00B52F1E">
        <w:rPr>
          <w:color w:val="000000"/>
        </w:rPr>
        <w:t>, y;</w:t>
      </w:r>
    </w:p>
    <w:p w14:paraId="073AD706" w14:textId="77777777" w:rsidR="00AF4445" w:rsidRPr="00C310FF" w:rsidRDefault="00AF4445" w:rsidP="00AF4445">
      <w:pPr>
        <w:pStyle w:val="NormalWeb"/>
        <w:tabs>
          <w:tab w:val="left" w:pos="993"/>
        </w:tabs>
        <w:jc w:val="both"/>
        <w:rPr>
          <w:b/>
        </w:rPr>
      </w:pPr>
      <w:r w:rsidRPr="00C310FF">
        <w:rPr>
          <w:b/>
        </w:rPr>
        <w:t>CONSIDERANDO:</w:t>
      </w:r>
    </w:p>
    <w:p w14:paraId="7757ACB6" w14:textId="0D6CCAA7" w:rsidR="00AF4445" w:rsidRDefault="00AF4445" w:rsidP="00AF4445">
      <w:pPr>
        <w:pStyle w:val="NormalWeb"/>
        <w:tabs>
          <w:tab w:val="left" w:pos="2127"/>
        </w:tabs>
        <w:jc w:val="both"/>
        <w:rPr>
          <w:color w:val="000000"/>
        </w:rPr>
      </w:pPr>
      <w:r w:rsidRPr="00C310FF">
        <w:t xml:space="preserve">                  </w:t>
      </w:r>
      <w:r w:rsidRPr="00C310FF">
        <w:tab/>
      </w:r>
      <w:r>
        <w:rPr>
          <w:color w:val="000000"/>
        </w:rPr>
        <w:t xml:space="preserve">Que </w:t>
      </w:r>
      <w:r w:rsidRPr="007243DF">
        <w:rPr>
          <w:color w:val="000000"/>
        </w:rPr>
        <w:t>la ludopatía, implica</w:t>
      </w:r>
      <w:r>
        <w:rPr>
          <w:color w:val="000000"/>
        </w:rPr>
        <w:t xml:space="preserve"> </w:t>
      </w:r>
      <w:r w:rsidRPr="007243DF">
        <w:rPr>
          <w:color w:val="000000"/>
        </w:rPr>
        <w:t>efectos negativos</w:t>
      </w:r>
      <w:r>
        <w:rPr>
          <w:color w:val="000000"/>
        </w:rPr>
        <w:t xml:space="preserve"> en la salud de los adolescentes, </w:t>
      </w:r>
      <w:r w:rsidRPr="007243DF">
        <w:rPr>
          <w:color w:val="000000"/>
        </w:rPr>
        <w:t>produc</w:t>
      </w:r>
      <w:r>
        <w:rPr>
          <w:color w:val="000000"/>
        </w:rPr>
        <w:t>iendo</w:t>
      </w:r>
      <w:r w:rsidRPr="007243DF">
        <w:rPr>
          <w:color w:val="000000"/>
        </w:rPr>
        <w:t xml:space="preserve"> cambios en la</w:t>
      </w:r>
      <w:r>
        <w:rPr>
          <w:color w:val="000000"/>
        </w:rPr>
        <w:t>s</w:t>
      </w:r>
      <w:r w:rsidRPr="007243DF">
        <w:rPr>
          <w:color w:val="000000"/>
        </w:rPr>
        <w:t xml:space="preserve"> conductas sociales; incluyendo adicción, endeudamiento, e impactos adversos en su bienestar físico y mental</w:t>
      </w:r>
      <w:r>
        <w:rPr>
          <w:color w:val="000000"/>
        </w:rPr>
        <w:t>;</w:t>
      </w:r>
    </w:p>
    <w:p w14:paraId="7989B069" w14:textId="22D0018A" w:rsidR="00AF4445" w:rsidRDefault="00AF4445" w:rsidP="00AF444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243DF">
        <w:rPr>
          <w:color w:val="000000"/>
        </w:rPr>
        <w:t>Que existe un vínculo entre el auge de las apuestas en línea y la promoción agresiva de los juegos de azar</w:t>
      </w:r>
      <w:r>
        <w:rPr>
          <w:color w:val="000000"/>
        </w:rPr>
        <w:t>;</w:t>
      </w:r>
      <w:r w:rsidRPr="007243DF">
        <w:rPr>
          <w:color w:val="000000"/>
        </w:rPr>
        <w:t xml:space="preserve"> </w:t>
      </w:r>
    </w:p>
    <w:p w14:paraId="3241945F" w14:textId="15163A87" w:rsidR="00AF4445" w:rsidRDefault="00AF4445" w:rsidP="00AF444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243DF">
        <w:rPr>
          <w:color w:val="000000"/>
        </w:rPr>
        <w:t>Qu</w:t>
      </w:r>
      <w:r>
        <w:rPr>
          <w:color w:val="000000"/>
        </w:rPr>
        <w:t>e</w:t>
      </w:r>
      <w:r w:rsidRPr="007243DF">
        <w:rPr>
          <w:color w:val="000000"/>
        </w:rPr>
        <w:t xml:space="preserve"> es necesario establecer medidas de prevención y concientización entre los estudiantes de escuelas secundarias</w:t>
      </w:r>
      <w:r>
        <w:rPr>
          <w:color w:val="000000"/>
        </w:rPr>
        <w:t>;</w:t>
      </w:r>
      <w:r w:rsidRPr="007243DF">
        <w:rPr>
          <w:color w:val="000000"/>
        </w:rPr>
        <w:t xml:space="preserve"> </w:t>
      </w:r>
    </w:p>
    <w:p w14:paraId="18E5CD77" w14:textId="77777777" w:rsidR="00AF4445" w:rsidRDefault="00AF4445" w:rsidP="00AF4445">
      <w:pPr>
        <w:pStyle w:val="NormalWeb"/>
        <w:tabs>
          <w:tab w:val="left" w:pos="2127"/>
        </w:tabs>
        <w:jc w:val="both"/>
        <w:rPr>
          <w:color w:val="000000"/>
        </w:rPr>
      </w:pPr>
      <w:r>
        <w:rPr>
          <w:color w:val="000000"/>
        </w:rPr>
        <w:tab/>
      </w:r>
      <w:r w:rsidRPr="007243DF">
        <w:rPr>
          <w:color w:val="000000"/>
        </w:rPr>
        <w:t>Que es muy importante que se aborde el problema desde una perspectiva educativa y de salud pública</w:t>
      </w:r>
      <w:r>
        <w:rPr>
          <w:color w:val="000000"/>
        </w:rPr>
        <w:t>.</w:t>
      </w:r>
    </w:p>
    <w:p w14:paraId="4FAEA288" w14:textId="538E2F4F" w:rsidR="00CD5C14" w:rsidRPr="00E95DC9" w:rsidRDefault="00AF4445" w:rsidP="00AF4445">
      <w:pPr>
        <w:pStyle w:val="NormalWeb"/>
        <w:tabs>
          <w:tab w:val="left" w:pos="2127"/>
        </w:tabs>
        <w:jc w:val="both"/>
      </w:pPr>
      <w:r>
        <w:rPr>
          <w:color w:val="000000"/>
        </w:rPr>
        <w:tab/>
      </w:r>
      <w:bookmarkEnd w:id="0"/>
      <w:bookmarkEnd w:id="1"/>
      <w:proofErr w:type="gramStart"/>
      <w:r w:rsidR="009F1E75" w:rsidRPr="00E95DC9">
        <w:rPr>
          <w:color w:val="000000"/>
          <w:lang w:val="es-AR" w:eastAsia="es-AR"/>
        </w:rPr>
        <w:t>P</w:t>
      </w:r>
      <w:proofErr w:type="spellStart"/>
      <w:r w:rsidR="00AB7E20" w:rsidRPr="00E95DC9">
        <w:t>or</w:t>
      </w:r>
      <w:proofErr w:type="spellEnd"/>
      <w:r w:rsidR="00714A8C" w:rsidRPr="00E95DC9">
        <w:t xml:space="preserve"> </w:t>
      </w:r>
      <w:r w:rsidR="00AB7E20" w:rsidRPr="00E95DC9">
        <w:t xml:space="preserve"> </w:t>
      </w:r>
      <w:proofErr w:type="spellStart"/>
      <w:r w:rsidR="00AB7E20" w:rsidRPr="00E95DC9">
        <w:t>tod</w:t>
      </w:r>
      <w:proofErr w:type="spellEnd"/>
      <w:r w:rsidR="00AB7E20" w:rsidRPr="00E95DC9">
        <w:rPr>
          <w:lang w:val="es-ES_tradnl"/>
        </w:rPr>
        <w:t>o</w:t>
      </w:r>
      <w:proofErr w:type="gramEnd"/>
      <w:r w:rsidR="00AB7E20" w:rsidRPr="00E95DC9">
        <w:rPr>
          <w:lang w:val="es-ES_tradnl"/>
        </w:rPr>
        <w:t xml:space="preserve"> </w:t>
      </w:r>
      <w:r w:rsidR="00AB7E20" w:rsidRPr="00E95DC9">
        <w:t xml:space="preserve">ello, el Concejo Municipal de Totoras, en uso de las atribuciones que le confiere la Ley Orgánica de Municipalidades </w:t>
      </w:r>
      <w:proofErr w:type="spellStart"/>
      <w:r w:rsidR="00AB7E20" w:rsidRPr="00E95DC9">
        <w:t>N°</w:t>
      </w:r>
      <w:proofErr w:type="spellEnd"/>
      <w:r w:rsidR="00AB7E20" w:rsidRPr="00E95DC9"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5F73075" w14:textId="03449800" w:rsidR="00AF4445" w:rsidRDefault="00AF4445" w:rsidP="00AF4445">
      <w:pPr>
        <w:pStyle w:val="NormalWeb"/>
        <w:jc w:val="both"/>
        <w:rPr>
          <w:bCs/>
        </w:rPr>
      </w:pPr>
      <w:r w:rsidRPr="005C122F">
        <w:rPr>
          <w:b/>
          <w:u w:val="single"/>
        </w:rPr>
        <w:t>ARTÍCULO 1</w:t>
      </w:r>
      <w:r w:rsidRPr="00577200">
        <w:rPr>
          <w:b/>
          <w:u w:val="single"/>
        </w:rPr>
        <w:t>°</w:t>
      </w:r>
      <w:r>
        <w:rPr>
          <w:b/>
          <w:u w:val="single"/>
        </w:rPr>
        <w:t>):</w:t>
      </w:r>
      <w:r w:rsidRPr="00C517DA">
        <w:rPr>
          <w:b/>
        </w:rPr>
        <w:t xml:space="preserve"> </w:t>
      </w:r>
      <w:r w:rsidRPr="005C122F">
        <w:rPr>
          <w:b/>
        </w:rPr>
        <w:t xml:space="preserve"> </w:t>
      </w:r>
      <w:proofErr w:type="spellStart"/>
      <w:r>
        <w:rPr>
          <w:bCs/>
        </w:rPr>
        <w:t>Solicítase</w:t>
      </w:r>
      <w:proofErr w:type="spellEnd"/>
      <w:r>
        <w:rPr>
          <w:bCs/>
        </w:rPr>
        <w:t xml:space="preserve"> al Departamento Ejecutivo Municipal, </w:t>
      </w:r>
      <w:r w:rsidRPr="009C34CB">
        <w:rPr>
          <w:bCs/>
        </w:rPr>
        <w:t>la implementación de una campaña de prevención y concientización dirigida a los adolescentes sobre los riesgos de las apuestas online.</w:t>
      </w:r>
    </w:p>
    <w:p w14:paraId="270AE65A" w14:textId="4DF18162" w:rsidR="00AF4445" w:rsidRPr="009A7981" w:rsidRDefault="00AF4445" w:rsidP="00AF4445">
      <w:pPr>
        <w:pStyle w:val="NormalWeb"/>
        <w:jc w:val="both"/>
        <w:rPr>
          <w:bCs/>
          <w:color w:val="000000"/>
        </w:rPr>
      </w:pPr>
      <w:r w:rsidRPr="009C34CB">
        <w:rPr>
          <w:b/>
          <w:bCs/>
          <w:color w:val="000000"/>
          <w:u w:val="single"/>
        </w:rPr>
        <w:t>ARTÍCULO 2º)</w:t>
      </w:r>
      <w:r>
        <w:rPr>
          <w:b/>
          <w:bCs/>
          <w:color w:val="000000"/>
          <w:u w:val="single"/>
        </w:rPr>
        <w:t>:</w:t>
      </w:r>
      <w:r w:rsidRPr="009C34CB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proofErr w:type="spellStart"/>
      <w:r>
        <w:rPr>
          <w:bCs/>
          <w:color w:val="000000"/>
        </w:rPr>
        <w:t>S</w:t>
      </w:r>
      <w:r w:rsidRPr="009C34CB">
        <w:rPr>
          <w:bCs/>
          <w:color w:val="000000"/>
        </w:rPr>
        <w:t>olicítase</w:t>
      </w:r>
      <w:proofErr w:type="spellEnd"/>
      <w:r w:rsidRPr="009C34CB">
        <w:rPr>
          <w:bCs/>
          <w:color w:val="000000"/>
        </w:rPr>
        <w:t xml:space="preserve"> que las estrategias para prevenir la ludopatía </w:t>
      </w:r>
      <w:proofErr w:type="gramStart"/>
      <w:r w:rsidRPr="009C34CB">
        <w:rPr>
          <w:bCs/>
          <w:color w:val="000000"/>
        </w:rPr>
        <w:t>adolescente</w:t>
      </w:r>
      <w:r>
        <w:rPr>
          <w:bCs/>
          <w:color w:val="000000"/>
        </w:rPr>
        <w:t xml:space="preserve">, </w:t>
      </w:r>
      <w:r w:rsidRPr="009C34CB">
        <w:rPr>
          <w:bCs/>
          <w:color w:val="000000"/>
        </w:rPr>
        <w:t xml:space="preserve"> se</w:t>
      </w:r>
      <w:proofErr w:type="gramEnd"/>
      <w:r>
        <w:rPr>
          <w:bCs/>
          <w:color w:val="000000"/>
        </w:rPr>
        <w:t xml:space="preserve"> </w:t>
      </w:r>
      <w:r w:rsidRPr="009C34CB">
        <w:rPr>
          <w:bCs/>
          <w:color w:val="000000"/>
        </w:rPr>
        <w:t xml:space="preserve"> aborden desde la perspectiva educativa y de salud pública con profesionales y organizaciones especialistas en el tema. </w:t>
      </w:r>
    </w:p>
    <w:p w14:paraId="6833C942" w14:textId="4B0B18C1" w:rsidR="00AF4445" w:rsidRPr="00577200" w:rsidRDefault="00AF4445" w:rsidP="00AF4445">
      <w:pPr>
        <w:pStyle w:val="NormalWeb"/>
        <w:jc w:val="both"/>
        <w:rPr>
          <w:color w:val="000000"/>
        </w:rPr>
      </w:pPr>
      <w:bookmarkStart w:id="2" w:name="_Hlk161826170"/>
      <w:r w:rsidRPr="00577200">
        <w:rPr>
          <w:b/>
          <w:color w:val="000000"/>
          <w:u w:val="single"/>
        </w:rPr>
        <w:t xml:space="preserve">ARTÍCULO </w:t>
      </w:r>
      <w:r>
        <w:rPr>
          <w:b/>
          <w:color w:val="000000"/>
          <w:u w:val="single"/>
        </w:rPr>
        <w:t>3</w:t>
      </w:r>
      <w:r w:rsidRPr="00577200">
        <w:rPr>
          <w:b/>
          <w:color w:val="000000"/>
          <w:u w:val="single"/>
        </w:rPr>
        <w:t>º</w:t>
      </w:r>
      <w:r>
        <w:rPr>
          <w:b/>
          <w:color w:val="000000"/>
          <w:u w:val="single"/>
        </w:rPr>
        <w:t>):</w:t>
      </w:r>
      <w:r w:rsidRPr="00577200">
        <w:rPr>
          <w:color w:val="000000"/>
        </w:rPr>
        <w:t xml:space="preserve"> </w:t>
      </w:r>
      <w:bookmarkEnd w:id="2"/>
      <w:r>
        <w:rPr>
          <w:color w:val="000000"/>
        </w:rPr>
        <w:t xml:space="preserve"> </w:t>
      </w:r>
      <w:r w:rsidRPr="00577200">
        <w:rPr>
          <w:color w:val="000000"/>
        </w:rPr>
        <w:t xml:space="preserve">Comuníquese, Publíquese, Archívese y </w:t>
      </w:r>
      <w:proofErr w:type="spellStart"/>
      <w:r w:rsidRPr="00577200">
        <w:rPr>
          <w:color w:val="000000"/>
        </w:rPr>
        <w:t>Dése</w:t>
      </w:r>
      <w:proofErr w:type="spellEnd"/>
      <w:r w:rsidRPr="00577200">
        <w:rPr>
          <w:color w:val="000000"/>
        </w:rPr>
        <w:t xml:space="preserve"> al Registro Municipal.-.</w:t>
      </w:r>
    </w:p>
    <w:p w14:paraId="25B2CB27" w14:textId="2D632814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5A723C">
        <w:t>veintiún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D3117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4D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177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2024-03-21T11:24:00Z</cp:lastPrinted>
  <dcterms:created xsi:type="dcterms:W3CDTF">2024-03-20T15:37:00Z</dcterms:created>
  <dcterms:modified xsi:type="dcterms:W3CDTF">2024-03-21T11:24:00Z</dcterms:modified>
</cp:coreProperties>
</file>