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6BC7BA7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5B3354">
        <w:rPr>
          <w:sz w:val="24"/>
          <w:szCs w:val="24"/>
        </w:rPr>
        <w:t>3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9B74630" w14:textId="77777777" w:rsidR="005B3354" w:rsidRPr="00462E15" w:rsidRDefault="00DA5458" w:rsidP="005B3354">
      <w:pPr>
        <w:tabs>
          <w:tab w:val="left" w:pos="1134"/>
        </w:tabs>
        <w:spacing w:after="100" w:afterAutospacing="1"/>
        <w:jc w:val="both"/>
        <w:rPr>
          <w:sz w:val="24"/>
          <w:szCs w:val="24"/>
        </w:rPr>
      </w:pPr>
      <w:r w:rsidRPr="003B4E61">
        <w:tab/>
      </w:r>
      <w:bookmarkStart w:id="0" w:name="_Hlk226615921"/>
      <w:r w:rsidR="005B3354" w:rsidRPr="000D1846">
        <w:rPr>
          <w:sz w:val="24"/>
          <w:szCs w:val="24"/>
        </w:rPr>
        <w:t xml:space="preserve">El reclamo de vecinos frentistas del Acceso Julián de Bustinza, desde su intersección de </w:t>
      </w:r>
      <w:proofErr w:type="spellStart"/>
      <w:r w:rsidR="005B3354" w:rsidRPr="000D1846">
        <w:rPr>
          <w:sz w:val="24"/>
          <w:szCs w:val="24"/>
        </w:rPr>
        <w:t>Bv</w:t>
      </w:r>
      <w:proofErr w:type="spellEnd"/>
      <w:r w:rsidR="005B3354" w:rsidRPr="000D1846">
        <w:rPr>
          <w:sz w:val="24"/>
          <w:szCs w:val="24"/>
        </w:rPr>
        <w:t>. Colón hasta la calle Fray Luis Beltrán, respecto a la obra pendiente de ensanche de calzada con cordón cuneta, desagües y recambio de columnas de alumbrado y luminarias</w:t>
      </w:r>
      <w:r w:rsidR="005B3354">
        <w:rPr>
          <w:sz w:val="24"/>
          <w:szCs w:val="24"/>
        </w:rPr>
        <w:t>, y;</w:t>
      </w:r>
    </w:p>
    <w:bookmarkEnd w:id="0"/>
    <w:p w14:paraId="48BB2F6B" w14:textId="3FAAE245" w:rsidR="001E31B6" w:rsidRPr="005B3354" w:rsidRDefault="0023406A" w:rsidP="005B3354">
      <w:pPr>
        <w:tabs>
          <w:tab w:val="left" w:pos="1134"/>
        </w:tabs>
        <w:spacing w:after="100" w:afterAutospacing="1"/>
        <w:jc w:val="both"/>
        <w:rPr>
          <w:b/>
          <w:color w:val="000000"/>
          <w:sz w:val="24"/>
          <w:szCs w:val="24"/>
          <w:lang w:eastAsia="es-AR"/>
        </w:rPr>
      </w:pPr>
      <w:r w:rsidRPr="005B3354">
        <w:rPr>
          <w:b/>
          <w:color w:val="000000"/>
          <w:sz w:val="24"/>
          <w:szCs w:val="24"/>
          <w:lang w:eastAsia="es-AR"/>
        </w:rPr>
        <w:t>CONSIDERANDO:</w:t>
      </w:r>
    </w:p>
    <w:p w14:paraId="1F48B37F" w14:textId="77777777" w:rsidR="005B3354" w:rsidRPr="005B3354" w:rsidRDefault="00A862A0" w:rsidP="005B3354">
      <w:pPr>
        <w:tabs>
          <w:tab w:val="left" w:pos="2268"/>
        </w:tabs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5B3354" w:rsidRPr="005B3354">
        <w:rPr>
          <w:rFonts w:eastAsia="Calibri"/>
          <w:sz w:val="24"/>
          <w:szCs w:val="24"/>
          <w:lang w:val="es-AR" w:eastAsia="en-US"/>
        </w:rPr>
        <w:t xml:space="preserve">Que, mediante Decreto </w:t>
      </w:r>
      <w:proofErr w:type="spellStart"/>
      <w:r w:rsidR="005B3354" w:rsidRPr="005B3354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5B3354" w:rsidRPr="005B3354">
        <w:rPr>
          <w:rFonts w:eastAsia="Calibri"/>
          <w:sz w:val="24"/>
          <w:szCs w:val="24"/>
          <w:lang w:val="es-AR" w:eastAsia="en-US"/>
        </w:rPr>
        <w:t xml:space="preserve"> 694/22, el Departamento Ejecutivo Municipal promulgó la Ordenanza N°1558 que dispone la construcción de bicisendas o ciclovías sobre la banquina oeste del Acceso Julián de Bustinza en su Artículo 2º;</w:t>
      </w:r>
    </w:p>
    <w:p w14:paraId="431AE441" w14:textId="77777777" w:rsidR="005B3354" w:rsidRPr="005B3354" w:rsidRDefault="005B3354" w:rsidP="005B3354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5B3354">
        <w:rPr>
          <w:rFonts w:eastAsia="Calibri"/>
          <w:sz w:val="24"/>
          <w:szCs w:val="24"/>
          <w:lang w:val="es-AR" w:eastAsia="en-US"/>
        </w:rPr>
        <w:tab/>
        <w:t xml:space="preserve">Que, mediante Minuta de Comunicación </w:t>
      </w:r>
      <w:proofErr w:type="spellStart"/>
      <w:r w:rsidRPr="005B3354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Pr="005B3354">
        <w:rPr>
          <w:rFonts w:eastAsia="Calibri"/>
          <w:sz w:val="24"/>
          <w:szCs w:val="24"/>
          <w:lang w:val="es-AR" w:eastAsia="en-US"/>
        </w:rPr>
        <w:t xml:space="preserve"> 1669 del día 26/09/2024, este Concejo Municipal solicitó informe sobre la factibilidad de la concreción de obra que llevaba una postergación de 2 (dos) años;</w:t>
      </w:r>
    </w:p>
    <w:p w14:paraId="79B378A3" w14:textId="77777777" w:rsidR="005B3354" w:rsidRPr="005B3354" w:rsidRDefault="005B3354" w:rsidP="005B3354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5B3354">
        <w:rPr>
          <w:rFonts w:eastAsia="Calibri"/>
          <w:sz w:val="24"/>
          <w:szCs w:val="24"/>
          <w:lang w:val="es-AR" w:eastAsia="en-US"/>
        </w:rPr>
        <w:tab/>
        <w:t>Que, en el Plan de Obras Públicas del año 2025 se proyectó la remodelación del acceso mencionado en una primera etapa de mejora integral;</w:t>
      </w:r>
    </w:p>
    <w:p w14:paraId="7527FC0C" w14:textId="77777777" w:rsidR="005B3354" w:rsidRPr="005B3354" w:rsidRDefault="005B3354" w:rsidP="005B3354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5B3354">
        <w:rPr>
          <w:rFonts w:eastAsia="Calibri"/>
          <w:sz w:val="24"/>
          <w:szCs w:val="24"/>
          <w:lang w:val="es-AR" w:eastAsia="en-US"/>
        </w:rPr>
        <w:tab/>
        <w:t>Que, las mencionadas obras continúan pendientes de realización y fueron incluidas en el Plan de Obras Públicas para este año 2026;</w:t>
      </w:r>
    </w:p>
    <w:p w14:paraId="19FD5BDC" w14:textId="77777777" w:rsidR="005B3354" w:rsidRPr="005B3354" w:rsidRDefault="005B3354" w:rsidP="005B3354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5B3354">
        <w:rPr>
          <w:rFonts w:eastAsia="Calibri"/>
          <w:sz w:val="24"/>
          <w:szCs w:val="24"/>
          <w:lang w:val="es-AR" w:eastAsia="en-US"/>
        </w:rPr>
        <w:tab/>
        <w:t>Que, es necesario e imperioso que se proceda al ensanchamiento de la calzada y la ejecución de obras de desagüe ya que la precariedad de la infraestructura no garantiza la accesibilidad básica de los frentistas a sus viviendas, situación que se agrava críticamente durante los días de lluvia;</w:t>
      </w:r>
    </w:p>
    <w:p w14:paraId="34050992" w14:textId="77777777" w:rsidR="005B3354" w:rsidRDefault="005B3354" w:rsidP="005B3354">
      <w:pPr>
        <w:pStyle w:val="p1"/>
        <w:tabs>
          <w:tab w:val="left" w:pos="2268"/>
        </w:tabs>
        <w:jc w:val="both"/>
        <w:rPr>
          <w:rFonts w:eastAsia="Calibri"/>
          <w:lang w:eastAsia="en-US"/>
        </w:rPr>
      </w:pPr>
      <w:r w:rsidRPr="005B3354">
        <w:rPr>
          <w:rFonts w:eastAsia="Calibri"/>
          <w:lang w:eastAsia="en-US"/>
        </w:rPr>
        <w:tab/>
        <w:t>Que, estas obras permitirían la construcción de las bicisendas o ciclovías que brinden seguridad vial tanto a vecinos como a empleados de empresas y deportistas que utilizan a diario el Acceso Julián de Bustinza;</w:t>
      </w:r>
    </w:p>
    <w:p w14:paraId="3CC1B0F7" w14:textId="47BCE0B3" w:rsidR="001E31B6" w:rsidRDefault="00AB07A5" w:rsidP="005B3354">
      <w:pPr>
        <w:pStyle w:val="p1"/>
        <w:tabs>
          <w:tab w:val="left" w:pos="2268"/>
        </w:tabs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43D3D89" w14:textId="1349ACF1" w:rsidR="00782873" w:rsidRDefault="003F5349" w:rsidP="00782873">
      <w:pPr>
        <w:pStyle w:val="s2"/>
        <w:jc w:val="both"/>
      </w:pPr>
      <w:r w:rsidRPr="001B7D92">
        <w:rPr>
          <w:b/>
          <w:u w:val="single"/>
        </w:rPr>
        <w:t>ARTÍCULO 1º</w:t>
      </w:r>
      <w:proofErr w:type="gramStart"/>
      <w:r w:rsidRPr="001B7D92">
        <w:rPr>
          <w:b/>
          <w:u w:val="single"/>
        </w:rPr>
        <w:t>).-</w:t>
      </w:r>
      <w:proofErr w:type="gramEnd"/>
      <w:r w:rsidRPr="001B7D92">
        <w:t xml:space="preserve"> </w:t>
      </w:r>
      <w:proofErr w:type="spellStart"/>
      <w:r w:rsidR="00782873">
        <w:t>Solicítase</w:t>
      </w:r>
      <w:proofErr w:type="spellEnd"/>
      <w:r w:rsidR="00782873">
        <w:t xml:space="preserve"> </w:t>
      </w:r>
      <w:bookmarkStart w:id="1" w:name="_Hlk227312014"/>
      <w:bookmarkStart w:id="2" w:name="_GoBack"/>
      <w:r w:rsidR="005B3354" w:rsidRPr="006F6495">
        <w:t xml:space="preserve">al Departamento Ejecutivo Municipal, que a través del Área que corresponda, informe a este Concejo Municipal, fecha estipulada para la realización de la primera etapa de remodelación del Acceso Julián de Bustinza desde el </w:t>
      </w:r>
      <w:proofErr w:type="spellStart"/>
      <w:r w:rsidR="005B3354" w:rsidRPr="006F6495">
        <w:t>Bv</w:t>
      </w:r>
      <w:proofErr w:type="spellEnd"/>
      <w:r w:rsidR="005B3354" w:rsidRPr="006F6495">
        <w:t>. Colón hasta la calle Fray L</w:t>
      </w:r>
      <w:r w:rsidR="005B3354">
        <w:t>u</w:t>
      </w:r>
      <w:r w:rsidR="005B3354" w:rsidRPr="006F6495">
        <w:t>is Beltrán proyectadas en el Plan de Obras Públicas del año 2026, y que incluyen: ensanche de calzada con cordón cuneta, desagües y recambio de columnas de alumbrado y luminarias.</w:t>
      </w:r>
      <w:bookmarkEnd w:id="1"/>
      <w:bookmarkEnd w:id="2"/>
    </w:p>
    <w:p w14:paraId="0EFA7106" w14:textId="2DDD352F" w:rsidR="003F5349" w:rsidRPr="00782873" w:rsidRDefault="00782873" w:rsidP="00763E81">
      <w:pPr>
        <w:pStyle w:val="s2"/>
        <w:jc w:val="both"/>
        <w:rPr>
          <w:rStyle w:val="apple-style-span"/>
        </w:rPr>
      </w:pPr>
      <w:bookmarkStart w:id="3" w:name="_Hlk227057441"/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>
        <w:rPr>
          <w:rStyle w:val="s3"/>
          <w:b/>
          <w:bCs/>
          <w:color w:val="000000"/>
          <w:u w:val="single"/>
        </w:rPr>
        <w:t>2</w:t>
      </w:r>
      <w:r w:rsidRPr="00F72B06">
        <w:rPr>
          <w:rStyle w:val="s3"/>
          <w:b/>
          <w:bCs/>
          <w:color w:val="000000"/>
          <w:u w:val="single"/>
        </w:rPr>
        <w:t>º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3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 xml:space="preserve">Comuníquese, Publíquese, Archívese y </w:t>
      </w:r>
      <w:proofErr w:type="spellStart"/>
      <w:r w:rsidR="003F5349" w:rsidRPr="00782873">
        <w:rPr>
          <w:rStyle w:val="apple-style-span"/>
        </w:rPr>
        <w:t>Dése</w:t>
      </w:r>
      <w:proofErr w:type="spellEnd"/>
      <w:r w:rsidR="003F5349" w:rsidRPr="00782873">
        <w:rPr>
          <w:rStyle w:val="apple-style-span"/>
        </w:rPr>
        <w:t xml:space="preserve"> al Registro Municipal.-</w:t>
      </w:r>
    </w:p>
    <w:p w14:paraId="33F5B64D" w14:textId="2269ECE8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63E81">
        <w:t>dieciséis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5B3354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2B199" w14:textId="77777777" w:rsidR="00D32477" w:rsidRDefault="00D32477">
      <w:r>
        <w:separator/>
      </w:r>
    </w:p>
  </w:endnote>
  <w:endnote w:type="continuationSeparator" w:id="0">
    <w:p w14:paraId="497E7EE7" w14:textId="77777777" w:rsidR="00D32477" w:rsidRDefault="00D3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997D" w14:textId="77777777" w:rsidR="00D32477" w:rsidRDefault="00D32477">
      <w:r>
        <w:separator/>
      </w:r>
    </w:p>
  </w:footnote>
  <w:footnote w:type="continuationSeparator" w:id="0">
    <w:p w14:paraId="47E07C32" w14:textId="77777777" w:rsidR="00D32477" w:rsidRDefault="00D3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49D1-15B9-45A8-A11C-462F2616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Natalia</cp:lastModifiedBy>
  <cp:revision>171</cp:revision>
  <cp:lastPrinted>2026-04-17T12:53:00Z</cp:lastPrinted>
  <dcterms:created xsi:type="dcterms:W3CDTF">2025-10-16T14:19:00Z</dcterms:created>
  <dcterms:modified xsi:type="dcterms:W3CDTF">2026-04-17T12:53:00Z</dcterms:modified>
</cp:coreProperties>
</file>