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1055FB4E"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314BFD">
        <w:rPr>
          <w:sz w:val="24"/>
          <w:szCs w:val="24"/>
        </w:rPr>
        <w:t>3</w:t>
      </w:r>
      <w:r w:rsidR="00640B9D">
        <w:rPr>
          <w:sz w:val="24"/>
          <w:szCs w:val="24"/>
        </w:rPr>
        <w:t>2</w:t>
      </w:r>
    </w:p>
    <w:p w14:paraId="663B80FE" w14:textId="77777777" w:rsidR="00185E6E" w:rsidRDefault="00AA057A" w:rsidP="00314BFD">
      <w:pPr>
        <w:spacing w:after="120"/>
        <w:jc w:val="both"/>
        <w:rPr>
          <w:b/>
          <w:sz w:val="24"/>
          <w:szCs w:val="24"/>
          <w:lang w:val="es-AR"/>
        </w:rPr>
      </w:pPr>
      <w:r w:rsidRPr="006D5AE2">
        <w:rPr>
          <w:b/>
          <w:sz w:val="24"/>
          <w:szCs w:val="24"/>
          <w:lang w:val="es-AR"/>
        </w:rPr>
        <w:t>VISTO:</w:t>
      </w:r>
    </w:p>
    <w:p w14:paraId="7718E6B9" w14:textId="33D08FEF" w:rsidR="00640B9D" w:rsidRPr="00640B9D" w:rsidRDefault="00314BFD" w:rsidP="00640B9D">
      <w:pPr>
        <w:tabs>
          <w:tab w:val="left" w:pos="851"/>
        </w:tabs>
        <w:jc w:val="both"/>
        <w:rPr>
          <w:sz w:val="24"/>
          <w:szCs w:val="24"/>
        </w:rPr>
      </w:pPr>
      <w:r>
        <w:rPr>
          <w:color w:val="000000"/>
        </w:rPr>
        <w:t xml:space="preserve">            </w:t>
      </w:r>
      <w:r w:rsidR="00CB49B1">
        <w:rPr>
          <w:color w:val="000000"/>
        </w:rPr>
        <w:t xml:space="preserve">    </w:t>
      </w:r>
      <w:r w:rsidR="00EA6438">
        <w:rPr>
          <w:color w:val="000000"/>
        </w:rPr>
        <w:t xml:space="preserve"> </w:t>
      </w:r>
      <w:r w:rsidR="00640B9D" w:rsidRPr="00640B9D">
        <w:rPr>
          <w:sz w:val="24"/>
          <w:szCs w:val="24"/>
          <w:lang w:val="es-MX"/>
        </w:rPr>
        <w:t xml:space="preserve">  </w:t>
      </w:r>
      <w:r w:rsidR="00640B9D" w:rsidRPr="00640B9D">
        <w:rPr>
          <w:color w:val="201F1E"/>
          <w:sz w:val="24"/>
          <w:szCs w:val="24"/>
          <w:shd w:val="clear" w:color="auto" w:fill="FFFFFF"/>
        </w:rPr>
        <w:t xml:space="preserve">El </w:t>
      </w:r>
      <w:r w:rsidR="000F4833">
        <w:rPr>
          <w:color w:val="201F1E"/>
          <w:sz w:val="24"/>
          <w:szCs w:val="24"/>
          <w:shd w:val="clear" w:color="auto" w:fill="FFFFFF"/>
        </w:rPr>
        <w:t>P</w:t>
      </w:r>
      <w:r w:rsidR="00640B9D" w:rsidRPr="00640B9D">
        <w:rPr>
          <w:color w:val="201F1E"/>
          <w:sz w:val="24"/>
          <w:szCs w:val="24"/>
          <w:shd w:val="clear" w:color="auto" w:fill="FFFFFF"/>
        </w:rPr>
        <w:t>royecto de Ordenanza remitido por el Departamento Ejecutivo el mes de marzo del corriente año, referente a la obra de desagües cloacales y complementarias conexas a los propietarios de inmuebles ubicados en calle Saavedra al 1500 vereda oeste; y,</w:t>
      </w:r>
    </w:p>
    <w:p w14:paraId="7D81CE25" w14:textId="520A7AE1" w:rsidR="00CB49B1" w:rsidRPr="007061D4" w:rsidRDefault="00CB49B1" w:rsidP="00CB49B1">
      <w:pPr>
        <w:jc w:val="both"/>
        <w:rPr>
          <w:sz w:val="24"/>
          <w:szCs w:val="24"/>
        </w:rPr>
      </w:pPr>
    </w:p>
    <w:p w14:paraId="77CE6131" w14:textId="77777777" w:rsidR="00CB49B1" w:rsidRDefault="00CB49B1" w:rsidP="00CB49B1">
      <w:pPr>
        <w:jc w:val="both"/>
        <w:rPr>
          <w:sz w:val="24"/>
          <w:lang w:val="es-MX"/>
        </w:rPr>
      </w:pPr>
    </w:p>
    <w:p w14:paraId="426D6D07" w14:textId="1648913C" w:rsidR="00CB49B1" w:rsidRDefault="00CB49B1" w:rsidP="00CB49B1">
      <w:pPr>
        <w:spacing w:after="120"/>
        <w:jc w:val="both"/>
        <w:rPr>
          <w:sz w:val="24"/>
          <w:lang w:val="es-MX"/>
        </w:rPr>
      </w:pPr>
      <w:r>
        <w:rPr>
          <w:b/>
          <w:sz w:val="24"/>
          <w:lang w:val="es-MX"/>
        </w:rPr>
        <w:t>CONSIDERANDO:</w:t>
      </w:r>
      <w:bookmarkStart w:id="0" w:name="_GoBack"/>
      <w:bookmarkEnd w:id="0"/>
    </w:p>
    <w:p w14:paraId="4092E3B0" w14:textId="27E6E50F" w:rsidR="00640B9D" w:rsidRPr="00640B9D" w:rsidRDefault="00CB49B1" w:rsidP="00640B9D">
      <w:pPr>
        <w:shd w:val="clear" w:color="auto" w:fill="FFFFFF"/>
        <w:tabs>
          <w:tab w:val="left" w:pos="2127"/>
        </w:tabs>
        <w:jc w:val="both"/>
        <w:textAlignment w:val="baseline"/>
        <w:rPr>
          <w:color w:val="201F1E"/>
          <w:sz w:val="24"/>
          <w:szCs w:val="24"/>
          <w:lang w:val="es-AR" w:eastAsia="es-AR"/>
        </w:rPr>
      </w:pPr>
      <w:r w:rsidRPr="007061D4">
        <w:rPr>
          <w:sz w:val="24"/>
          <w:szCs w:val="24"/>
        </w:rPr>
        <w:t xml:space="preserve">                                </w:t>
      </w:r>
      <w:r>
        <w:rPr>
          <w:sz w:val="24"/>
          <w:szCs w:val="24"/>
        </w:rPr>
        <w:tab/>
      </w:r>
      <w:r w:rsidR="00640B9D" w:rsidRPr="00640B9D">
        <w:rPr>
          <w:color w:val="201F1E"/>
          <w:sz w:val="24"/>
          <w:szCs w:val="24"/>
          <w:lang w:val="es-AR" w:eastAsia="es-AR"/>
        </w:rPr>
        <w:t>Que el mencionado proyecto se encuentra en tratamiento por par</w:t>
      </w:r>
      <w:r w:rsidR="000F4833">
        <w:rPr>
          <w:color w:val="201F1E"/>
          <w:sz w:val="24"/>
          <w:szCs w:val="24"/>
          <w:lang w:val="es-AR" w:eastAsia="es-AR"/>
        </w:rPr>
        <w:t>te de la Comisión de “Gobierno”;</w:t>
      </w:r>
      <w:r w:rsidR="00640B9D" w:rsidRPr="00640B9D">
        <w:rPr>
          <w:color w:val="201F1E"/>
          <w:sz w:val="24"/>
          <w:szCs w:val="24"/>
          <w:lang w:val="es-AR" w:eastAsia="es-AR"/>
        </w:rPr>
        <w:t xml:space="preserve"> </w:t>
      </w:r>
    </w:p>
    <w:p w14:paraId="5E35A191" w14:textId="77777777" w:rsidR="00640B9D" w:rsidRPr="00640B9D" w:rsidRDefault="00640B9D" w:rsidP="00640B9D">
      <w:pPr>
        <w:shd w:val="clear" w:color="auto" w:fill="FFFFFF"/>
        <w:tabs>
          <w:tab w:val="left" w:pos="2127"/>
        </w:tabs>
        <w:jc w:val="both"/>
        <w:textAlignment w:val="baseline"/>
        <w:rPr>
          <w:color w:val="201F1E"/>
          <w:sz w:val="24"/>
          <w:szCs w:val="24"/>
          <w:lang w:val="es-AR" w:eastAsia="es-AR"/>
        </w:rPr>
      </w:pPr>
    </w:p>
    <w:p w14:paraId="4A840E38" w14:textId="2F4AE10E" w:rsidR="00640B9D" w:rsidRPr="00640B9D" w:rsidRDefault="00640B9D" w:rsidP="00640B9D">
      <w:pPr>
        <w:shd w:val="clear" w:color="auto" w:fill="FFFFFF"/>
        <w:tabs>
          <w:tab w:val="left" w:pos="2127"/>
        </w:tabs>
        <w:jc w:val="both"/>
        <w:textAlignment w:val="baseline"/>
        <w:rPr>
          <w:color w:val="201F1E"/>
          <w:sz w:val="24"/>
          <w:szCs w:val="24"/>
          <w:lang w:val="es-AR" w:eastAsia="es-AR"/>
        </w:rPr>
      </w:pPr>
      <w:r w:rsidRPr="00640B9D">
        <w:rPr>
          <w:color w:val="201F1E"/>
          <w:sz w:val="24"/>
          <w:szCs w:val="24"/>
          <w:lang w:val="es-AR" w:eastAsia="es-AR"/>
        </w:rPr>
        <w:tab/>
        <w:t>Que a través de Decreto Nº 559/22, el Departamento Ejecutivo Municipal convocó a los vecinos de calle S</w:t>
      </w:r>
      <w:r w:rsidR="000F4833">
        <w:rPr>
          <w:color w:val="201F1E"/>
          <w:sz w:val="24"/>
          <w:szCs w:val="24"/>
          <w:lang w:val="es-AR" w:eastAsia="es-AR"/>
        </w:rPr>
        <w:t>aavedra a registro de oposición;</w:t>
      </w:r>
    </w:p>
    <w:p w14:paraId="47224C51" w14:textId="77777777" w:rsidR="00640B9D" w:rsidRPr="00640B9D" w:rsidRDefault="00640B9D" w:rsidP="00640B9D">
      <w:pPr>
        <w:shd w:val="clear" w:color="auto" w:fill="FFFFFF"/>
        <w:tabs>
          <w:tab w:val="left" w:pos="2127"/>
        </w:tabs>
        <w:jc w:val="both"/>
        <w:textAlignment w:val="baseline"/>
        <w:rPr>
          <w:color w:val="201F1E"/>
          <w:sz w:val="24"/>
          <w:szCs w:val="24"/>
          <w:lang w:val="es-AR" w:eastAsia="es-AR"/>
        </w:rPr>
      </w:pPr>
    </w:p>
    <w:p w14:paraId="09D68E54" w14:textId="052F7FC9" w:rsidR="00640B9D" w:rsidRPr="00640B9D" w:rsidRDefault="00640B9D" w:rsidP="00640B9D">
      <w:pPr>
        <w:shd w:val="clear" w:color="auto" w:fill="FFFFFF"/>
        <w:tabs>
          <w:tab w:val="left" w:pos="2127"/>
        </w:tabs>
        <w:jc w:val="both"/>
        <w:textAlignment w:val="baseline"/>
        <w:rPr>
          <w:color w:val="201F1E"/>
          <w:sz w:val="24"/>
          <w:szCs w:val="24"/>
          <w:lang w:val="es-AR" w:eastAsia="es-AR"/>
        </w:rPr>
      </w:pPr>
      <w:r w:rsidRPr="00640B9D">
        <w:rPr>
          <w:color w:val="201F1E"/>
          <w:sz w:val="24"/>
          <w:szCs w:val="24"/>
          <w:lang w:val="es-AR" w:eastAsia="es-AR"/>
        </w:rPr>
        <w:tab/>
        <w:t>Que al cierre del citado registro,</w:t>
      </w:r>
      <w:r w:rsidR="000F4833">
        <w:rPr>
          <w:color w:val="201F1E"/>
          <w:sz w:val="24"/>
          <w:szCs w:val="24"/>
          <w:lang w:val="es-AR" w:eastAsia="es-AR"/>
        </w:rPr>
        <w:t xml:space="preserve"> no se produjo oposición alguna;</w:t>
      </w:r>
      <w:r w:rsidRPr="00640B9D">
        <w:rPr>
          <w:color w:val="201F1E"/>
          <w:sz w:val="24"/>
          <w:szCs w:val="24"/>
          <w:lang w:val="es-AR" w:eastAsia="es-AR"/>
        </w:rPr>
        <w:tab/>
      </w:r>
    </w:p>
    <w:p w14:paraId="071EEA43" w14:textId="77777777" w:rsidR="00640B9D" w:rsidRPr="00640B9D" w:rsidRDefault="00640B9D" w:rsidP="00640B9D">
      <w:pPr>
        <w:shd w:val="clear" w:color="auto" w:fill="FFFFFF"/>
        <w:tabs>
          <w:tab w:val="left" w:pos="2127"/>
        </w:tabs>
        <w:jc w:val="both"/>
        <w:textAlignment w:val="baseline"/>
        <w:rPr>
          <w:color w:val="201F1E"/>
          <w:sz w:val="24"/>
          <w:szCs w:val="24"/>
          <w:lang w:val="es-AR" w:eastAsia="es-AR"/>
        </w:rPr>
      </w:pPr>
    </w:p>
    <w:p w14:paraId="480DB33A" w14:textId="77777777" w:rsidR="00640B9D" w:rsidRPr="00640B9D" w:rsidRDefault="00640B9D" w:rsidP="00640B9D">
      <w:pPr>
        <w:shd w:val="clear" w:color="auto" w:fill="FFFFFF"/>
        <w:tabs>
          <w:tab w:val="left" w:pos="2127"/>
        </w:tabs>
        <w:jc w:val="both"/>
        <w:textAlignment w:val="baseline"/>
        <w:rPr>
          <w:color w:val="201F1E"/>
          <w:sz w:val="24"/>
          <w:szCs w:val="24"/>
          <w:lang w:val="es-AR" w:eastAsia="es-AR"/>
        </w:rPr>
      </w:pPr>
      <w:r w:rsidRPr="00640B9D">
        <w:rPr>
          <w:color w:val="201F1E"/>
          <w:sz w:val="24"/>
          <w:szCs w:val="24"/>
          <w:lang w:val="es-AR" w:eastAsia="es-AR"/>
        </w:rPr>
        <w:tab/>
        <w:t xml:space="preserve">Que independientemente de los registros de oposición realizados, es necesario considerar el análisis de costos de dicha obra, efectuado por el Departamento Ejecutivo Municipal en relación al cálculo de los mismos;  </w:t>
      </w:r>
    </w:p>
    <w:p w14:paraId="50A19C53" w14:textId="77777777" w:rsidR="00640B9D" w:rsidRPr="00640B9D" w:rsidRDefault="00640B9D" w:rsidP="00640B9D">
      <w:pPr>
        <w:shd w:val="clear" w:color="auto" w:fill="FFFFFF"/>
        <w:tabs>
          <w:tab w:val="left" w:pos="2127"/>
        </w:tabs>
        <w:jc w:val="both"/>
        <w:textAlignment w:val="baseline"/>
        <w:rPr>
          <w:color w:val="201F1E"/>
          <w:sz w:val="24"/>
          <w:szCs w:val="24"/>
          <w:lang w:val="es-AR" w:eastAsia="es-AR"/>
        </w:rPr>
      </w:pPr>
      <w:r w:rsidRPr="00640B9D">
        <w:rPr>
          <w:color w:val="201F1E"/>
          <w:sz w:val="24"/>
          <w:szCs w:val="24"/>
          <w:lang w:val="es-AR" w:eastAsia="es-AR"/>
        </w:rPr>
        <w:tab/>
        <w:t xml:space="preserve"> </w:t>
      </w:r>
    </w:p>
    <w:p w14:paraId="62F6F757" w14:textId="77777777" w:rsidR="00640B9D" w:rsidRPr="00640B9D" w:rsidRDefault="00640B9D" w:rsidP="00640B9D">
      <w:pPr>
        <w:shd w:val="clear" w:color="auto" w:fill="FFFFFF"/>
        <w:tabs>
          <w:tab w:val="left" w:pos="2127"/>
        </w:tabs>
        <w:jc w:val="both"/>
        <w:textAlignment w:val="baseline"/>
        <w:rPr>
          <w:color w:val="201F1E"/>
          <w:sz w:val="24"/>
          <w:szCs w:val="24"/>
          <w:lang w:val="es-AR" w:eastAsia="es-AR"/>
        </w:rPr>
      </w:pPr>
      <w:r w:rsidRPr="00640B9D">
        <w:rPr>
          <w:color w:val="201F1E"/>
          <w:sz w:val="24"/>
          <w:szCs w:val="24"/>
          <w:lang w:val="es-AR" w:eastAsia="es-AR"/>
        </w:rPr>
        <w:tab/>
        <w:t>Que es necesidad de este Cuerpo, recibir la información emanada de dicho análisis, a fin de continuar con el tratamiento del referido proyecto.</w:t>
      </w:r>
    </w:p>
    <w:p w14:paraId="377BA09E" w14:textId="77777777" w:rsidR="00640B9D" w:rsidRPr="00640B9D" w:rsidRDefault="00640B9D" w:rsidP="00640B9D">
      <w:pPr>
        <w:shd w:val="clear" w:color="auto" w:fill="FFFFFF"/>
        <w:tabs>
          <w:tab w:val="left" w:pos="2127"/>
        </w:tabs>
        <w:jc w:val="both"/>
        <w:textAlignment w:val="baseline"/>
        <w:rPr>
          <w:sz w:val="24"/>
          <w:szCs w:val="24"/>
        </w:rPr>
      </w:pPr>
      <w:r w:rsidRPr="00640B9D">
        <w:rPr>
          <w:color w:val="201F1E"/>
          <w:sz w:val="24"/>
          <w:szCs w:val="24"/>
          <w:lang w:val="es-AR" w:eastAsia="es-AR"/>
        </w:rPr>
        <w:t xml:space="preserve">                    </w:t>
      </w:r>
      <w:r w:rsidRPr="00640B9D">
        <w:rPr>
          <w:sz w:val="24"/>
          <w:szCs w:val="24"/>
        </w:rPr>
        <w:t xml:space="preserve">                              </w:t>
      </w:r>
    </w:p>
    <w:p w14:paraId="4EFB79B5" w14:textId="5B475F51" w:rsidR="00640B9D" w:rsidRDefault="009D6E5E" w:rsidP="000F4833">
      <w:pPr>
        <w:shd w:val="clear" w:color="auto" w:fill="FFFFFF"/>
        <w:tabs>
          <w:tab w:val="left" w:pos="2127"/>
        </w:tabs>
        <w:spacing w:after="240"/>
        <w:jc w:val="both"/>
        <w:textAlignment w:val="baseline"/>
        <w:rPr>
          <w:b/>
          <w:sz w:val="24"/>
          <w:szCs w:val="24"/>
          <w:u w:val="single"/>
        </w:rPr>
      </w:pPr>
      <w:r w:rsidRPr="004E423A">
        <w:tab/>
      </w:r>
      <w:r w:rsidR="00E0252E" w:rsidRPr="00640B9D">
        <w:rPr>
          <w:sz w:val="24"/>
          <w:szCs w:val="24"/>
        </w:rPr>
        <w:t xml:space="preserve">Por </w:t>
      </w:r>
      <w:proofErr w:type="spellStart"/>
      <w:r w:rsidR="00E0252E" w:rsidRPr="00640B9D">
        <w:rPr>
          <w:sz w:val="24"/>
          <w:szCs w:val="24"/>
        </w:rPr>
        <w:t>tod</w:t>
      </w:r>
      <w:proofErr w:type="spellEnd"/>
      <w:r w:rsidR="00E0252E" w:rsidRPr="00640B9D">
        <w:rPr>
          <w:sz w:val="24"/>
          <w:szCs w:val="24"/>
          <w:lang w:val="es-ES_tradnl"/>
        </w:rPr>
        <w:t xml:space="preserve">o </w:t>
      </w:r>
      <w:r w:rsidR="00E0252E" w:rsidRPr="00640B9D">
        <w:rPr>
          <w:sz w:val="24"/>
          <w:szCs w:val="24"/>
        </w:rPr>
        <w:t>ello, el Concejo Municipal de Totoras, en uso de las atribuciones que le confiere la Ley Orgánica de Municipalidades N°: 2756 y su propio Reglamento Interno, formula la siguiente:</w:t>
      </w: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2235E5DC" w14:textId="77777777" w:rsidR="00640B9D" w:rsidRPr="00640B9D" w:rsidRDefault="00CB49B1" w:rsidP="00640B9D">
      <w:pPr>
        <w:pStyle w:val="Textoindependiente"/>
        <w:spacing w:after="240"/>
        <w:rPr>
          <w:bCs/>
          <w:sz w:val="24"/>
          <w:szCs w:val="24"/>
        </w:rPr>
      </w:pPr>
      <w:r>
        <w:rPr>
          <w:b/>
          <w:sz w:val="24"/>
          <w:u w:val="single"/>
        </w:rPr>
        <w:t>ARTÍCULO 1º).-</w:t>
      </w:r>
      <w:r w:rsidRPr="00006831">
        <w:rPr>
          <w:rFonts w:ascii="Segoe UI" w:hAnsi="Segoe UI" w:cs="Segoe UI"/>
          <w:color w:val="201F1E"/>
          <w:sz w:val="23"/>
          <w:szCs w:val="23"/>
          <w:shd w:val="clear" w:color="auto" w:fill="FFFFFF"/>
        </w:rPr>
        <w:t xml:space="preserve"> </w:t>
      </w:r>
      <w:proofErr w:type="spellStart"/>
      <w:r w:rsidR="00640B9D" w:rsidRPr="00640B9D">
        <w:rPr>
          <w:color w:val="201F1E"/>
          <w:sz w:val="24"/>
          <w:szCs w:val="24"/>
          <w:shd w:val="clear" w:color="auto" w:fill="FFFFFF"/>
        </w:rPr>
        <w:t>Solicítase</w:t>
      </w:r>
      <w:proofErr w:type="spellEnd"/>
      <w:r w:rsidR="00640B9D" w:rsidRPr="00640B9D">
        <w:rPr>
          <w:color w:val="201F1E"/>
          <w:sz w:val="24"/>
          <w:szCs w:val="24"/>
          <w:shd w:val="clear" w:color="auto" w:fill="FFFFFF"/>
        </w:rPr>
        <w:t xml:space="preserve"> al Departamento Ejecutivo Municipal, remita a este Cuerpo </w:t>
      </w:r>
      <w:r w:rsidR="00640B9D" w:rsidRPr="00640B9D">
        <w:rPr>
          <w:bCs/>
          <w:sz w:val="24"/>
          <w:szCs w:val="24"/>
        </w:rPr>
        <w:t>el análisis de costos; elaborado y considerado en la realización del Proyecto de Ordenanza que contempla la obra de desagües cloacales y complementarias conexas para los vecinos de calle Saavedra al 1500 vereda oeste.</w:t>
      </w:r>
    </w:p>
    <w:p w14:paraId="41B7D480" w14:textId="477EF9A2" w:rsidR="00CB49B1" w:rsidRDefault="00CB49B1" w:rsidP="00640B9D">
      <w:pPr>
        <w:pStyle w:val="Textoindependiente"/>
        <w:rPr>
          <w:sz w:val="24"/>
        </w:rPr>
      </w:pPr>
      <w:r>
        <w:rPr>
          <w:b/>
          <w:sz w:val="24"/>
          <w:u w:val="single"/>
        </w:rPr>
        <w:t>ARTÍCULO 2</w:t>
      </w:r>
      <w:r w:rsidRPr="00BB7173">
        <w:rPr>
          <w:b/>
          <w:sz w:val="24"/>
          <w:u w:val="single"/>
        </w:rPr>
        <w:t>º</w:t>
      </w:r>
      <w:r>
        <w:rPr>
          <w:b/>
          <w:sz w:val="24"/>
          <w:u w:val="single"/>
        </w:rPr>
        <w:t>).-</w:t>
      </w:r>
      <w:r>
        <w:rPr>
          <w:sz w:val="24"/>
        </w:rPr>
        <w:t xml:space="preserve">  Comuníquese, Publíquese, Archívese y </w:t>
      </w:r>
      <w:proofErr w:type="spellStart"/>
      <w:r>
        <w:rPr>
          <w:sz w:val="24"/>
        </w:rPr>
        <w:t>Dése</w:t>
      </w:r>
      <w:proofErr w:type="spellEnd"/>
      <w:r>
        <w:rPr>
          <w:sz w:val="24"/>
        </w:rPr>
        <w:t xml:space="preserve"> al Registro Municipal.-</w:t>
      </w:r>
    </w:p>
    <w:p w14:paraId="25B2CB27" w14:textId="799CE35E" w:rsidR="00CF4FA5" w:rsidRDefault="00611098" w:rsidP="00A86877">
      <w:pPr>
        <w:pStyle w:val="NormalWeb"/>
        <w:jc w:val="both"/>
      </w:pPr>
      <w:r w:rsidRPr="009011E8">
        <w:t xml:space="preserve">                        </w:t>
      </w:r>
      <w:r w:rsidR="00B14C5B" w:rsidRPr="009011E8">
        <w:t xml:space="preserve">   </w:t>
      </w:r>
      <w:r w:rsidR="000F4833">
        <w:tab/>
      </w:r>
      <w:r w:rsidRPr="009011E8">
        <w:t>D</w:t>
      </w:r>
      <w:r w:rsidR="0027160E" w:rsidRPr="009011E8">
        <w:t xml:space="preserve">ada en la Sala de Sesiones del Concejo Municipal de la Ciudad de Totoras, Departamento </w:t>
      </w:r>
      <w:proofErr w:type="spellStart"/>
      <w:r w:rsidR="0027160E" w:rsidRPr="009011E8">
        <w:t>Iriondo</w:t>
      </w:r>
      <w:proofErr w:type="spellEnd"/>
      <w:r w:rsidR="0027160E" w:rsidRPr="009011E8">
        <w:t>, Provincia de Santa Fe, a los</w:t>
      </w:r>
      <w:r w:rsidR="003B2651">
        <w:t xml:space="preserve"> </w:t>
      </w:r>
      <w:r w:rsidR="000F4833">
        <w:t>veintiún</w:t>
      </w:r>
      <w:r w:rsidR="00EA6438">
        <w:t xml:space="preserve"> días del mes de Abril</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Sect="00CB49B1">
      <w:headerReference w:type="even" r:id="rId9"/>
      <w:headerReference w:type="default" r:id="rId10"/>
      <w:footerReference w:type="even" r:id="rId11"/>
      <w:footerReference w:type="default" r:id="rId12"/>
      <w:headerReference w:type="first" r:id="rId13"/>
      <w:footerReference w:type="first" r:id="rId14"/>
      <w:pgSz w:w="12242" w:h="20163" w:code="5"/>
      <w:pgMar w:top="1985" w:right="1021" w:bottom="3402" w:left="1843" w:header="720" w:footer="2977" w:gutter="0"/>
      <w:pgNumType w:start="2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69F2D" w14:textId="77777777" w:rsidR="00DC22FA" w:rsidRDefault="00DC22FA">
      <w:r>
        <w:separator/>
      </w:r>
    </w:p>
  </w:endnote>
  <w:endnote w:type="continuationSeparator" w:id="0">
    <w:p w14:paraId="21B0BC20" w14:textId="77777777" w:rsidR="00DC22FA" w:rsidRDefault="00DC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D41BB2" w:rsidRDefault="00D41B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D41BB2" w:rsidRDefault="00D41B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EndPr/>
    <w:sdtContent>
      <w:p w14:paraId="7323E680" w14:textId="01AE9FEC" w:rsidR="00D41BB2" w:rsidRDefault="00640B9D">
        <w:pPr>
          <w:pStyle w:val="Piedepgina"/>
          <w:jc w:val="center"/>
        </w:pPr>
        <w:r>
          <w:t>24</w:t>
        </w:r>
      </w:p>
    </w:sdtContent>
  </w:sdt>
  <w:p w14:paraId="434EAA7F" w14:textId="77777777" w:rsidR="00D41BB2" w:rsidRDefault="00D41BB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C6121" w14:textId="77777777" w:rsidR="00640B9D" w:rsidRDefault="00640B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9CE26" w14:textId="77777777" w:rsidR="00DC22FA" w:rsidRDefault="00DC22FA">
      <w:r>
        <w:separator/>
      </w:r>
    </w:p>
  </w:footnote>
  <w:footnote w:type="continuationSeparator" w:id="0">
    <w:p w14:paraId="492E3980" w14:textId="77777777" w:rsidR="00DC22FA" w:rsidRDefault="00DC2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E3C4" w14:textId="77777777" w:rsidR="00640B9D" w:rsidRDefault="00640B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5910D" w14:textId="77777777" w:rsidR="00640B9D" w:rsidRDefault="00640B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D02EE" w14:textId="77777777" w:rsidR="00640B9D" w:rsidRDefault="00640B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3F8"/>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412B"/>
    <w:rsid w:val="00074AC5"/>
    <w:rsid w:val="00075560"/>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6682"/>
    <w:rsid w:val="000A7802"/>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4833"/>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240"/>
    <w:rsid w:val="00274963"/>
    <w:rsid w:val="00275398"/>
    <w:rsid w:val="00275708"/>
    <w:rsid w:val="00276498"/>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814E9"/>
    <w:rsid w:val="003824BC"/>
    <w:rsid w:val="00383310"/>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690E"/>
    <w:rsid w:val="004C722A"/>
    <w:rsid w:val="004D0316"/>
    <w:rsid w:val="004D1A1B"/>
    <w:rsid w:val="004D1A8B"/>
    <w:rsid w:val="004D1B93"/>
    <w:rsid w:val="004D2238"/>
    <w:rsid w:val="004D4796"/>
    <w:rsid w:val="004D4E3A"/>
    <w:rsid w:val="004D4E63"/>
    <w:rsid w:val="004D566B"/>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314"/>
    <w:rsid w:val="005318E9"/>
    <w:rsid w:val="0053198F"/>
    <w:rsid w:val="00534B36"/>
    <w:rsid w:val="00535DA3"/>
    <w:rsid w:val="005373D6"/>
    <w:rsid w:val="00537405"/>
    <w:rsid w:val="00540612"/>
    <w:rsid w:val="005412B8"/>
    <w:rsid w:val="00541CD0"/>
    <w:rsid w:val="00544F34"/>
    <w:rsid w:val="00545C66"/>
    <w:rsid w:val="00546410"/>
    <w:rsid w:val="0055182D"/>
    <w:rsid w:val="005544E5"/>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57FA"/>
    <w:rsid w:val="0061677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B9D"/>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3E1"/>
    <w:rsid w:val="007B0F86"/>
    <w:rsid w:val="007B1930"/>
    <w:rsid w:val="007B1BFB"/>
    <w:rsid w:val="007B4C00"/>
    <w:rsid w:val="007B64A7"/>
    <w:rsid w:val="007B6D91"/>
    <w:rsid w:val="007B7528"/>
    <w:rsid w:val="007C02B2"/>
    <w:rsid w:val="007C0609"/>
    <w:rsid w:val="007C0CB2"/>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2185"/>
    <w:rsid w:val="00892560"/>
    <w:rsid w:val="00892E64"/>
    <w:rsid w:val="00893015"/>
    <w:rsid w:val="0089445B"/>
    <w:rsid w:val="00894CF6"/>
    <w:rsid w:val="0089564A"/>
    <w:rsid w:val="00895E50"/>
    <w:rsid w:val="008968B5"/>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0C0"/>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A43"/>
    <w:rsid w:val="00B00D00"/>
    <w:rsid w:val="00B013B9"/>
    <w:rsid w:val="00B01D53"/>
    <w:rsid w:val="00B03AFD"/>
    <w:rsid w:val="00B0408F"/>
    <w:rsid w:val="00B04931"/>
    <w:rsid w:val="00B07BF7"/>
    <w:rsid w:val="00B07ECE"/>
    <w:rsid w:val="00B10411"/>
    <w:rsid w:val="00B1058C"/>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7225"/>
    <w:rsid w:val="00BB7AB2"/>
    <w:rsid w:val="00BB7EE7"/>
    <w:rsid w:val="00BC0CC1"/>
    <w:rsid w:val="00BC1262"/>
    <w:rsid w:val="00BC26D5"/>
    <w:rsid w:val="00BC344F"/>
    <w:rsid w:val="00BC3D11"/>
    <w:rsid w:val="00BC4020"/>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109"/>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49B1"/>
    <w:rsid w:val="00CB7054"/>
    <w:rsid w:val="00CB705E"/>
    <w:rsid w:val="00CC106A"/>
    <w:rsid w:val="00CC1B51"/>
    <w:rsid w:val="00CC1E56"/>
    <w:rsid w:val="00CC34B7"/>
    <w:rsid w:val="00CC3ACA"/>
    <w:rsid w:val="00CC4F8E"/>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1213"/>
    <w:rsid w:val="00DC22FA"/>
    <w:rsid w:val="00DC2383"/>
    <w:rsid w:val="00DC2834"/>
    <w:rsid w:val="00DC3511"/>
    <w:rsid w:val="00DC39A3"/>
    <w:rsid w:val="00DC4D79"/>
    <w:rsid w:val="00DC4EDE"/>
    <w:rsid w:val="00DC515D"/>
    <w:rsid w:val="00DC5BBB"/>
    <w:rsid w:val="00DC6C2F"/>
    <w:rsid w:val="00DC7184"/>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665"/>
    <w:rsid w:val="00E04753"/>
    <w:rsid w:val="00E04F8D"/>
    <w:rsid w:val="00E05E98"/>
    <w:rsid w:val="00E11300"/>
    <w:rsid w:val="00E116F9"/>
    <w:rsid w:val="00E11B5D"/>
    <w:rsid w:val="00E12446"/>
    <w:rsid w:val="00E1248D"/>
    <w:rsid w:val="00E12650"/>
    <w:rsid w:val="00E12CBB"/>
    <w:rsid w:val="00E12D8C"/>
    <w:rsid w:val="00E145D0"/>
    <w:rsid w:val="00E14EBF"/>
    <w:rsid w:val="00E15CBB"/>
    <w:rsid w:val="00E16B25"/>
    <w:rsid w:val="00E170E8"/>
    <w:rsid w:val="00E2012D"/>
    <w:rsid w:val="00E205B5"/>
    <w:rsid w:val="00E211CE"/>
    <w:rsid w:val="00E2172B"/>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254D-5A87-42AF-A9D8-E71B8740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271</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Marcela</cp:lastModifiedBy>
  <cp:revision>57</cp:revision>
  <cp:lastPrinted>2022-04-21T22:18:00Z</cp:lastPrinted>
  <dcterms:created xsi:type="dcterms:W3CDTF">2021-11-04T12:51:00Z</dcterms:created>
  <dcterms:modified xsi:type="dcterms:W3CDTF">2022-04-21T22:18:00Z</dcterms:modified>
</cp:coreProperties>
</file>